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76"/>
        <w:jc w:val="center"/>
        <w:rPr>
          <w:b/>
          <w:b/>
          <w:bCs/>
          <w:sz w:val="28"/>
          <w:szCs w:val="28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10" wp14:anchorId="370574C5">
                <wp:simplePos x="0" y="0"/>
                <wp:positionH relativeFrom="column">
                  <wp:posOffset>-88900</wp:posOffset>
                </wp:positionH>
                <wp:positionV relativeFrom="paragraph">
                  <wp:posOffset>8788400</wp:posOffset>
                </wp:positionV>
                <wp:extent cx="6456680" cy="441325"/>
                <wp:effectExtent l="0" t="0" r="0" b="0"/>
                <wp:wrapSquare wrapText="bothSides"/>
                <wp:docPr id="1" name="Rectangle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600" cy="44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18"/>
                                <w:highlight w:val="white"/>
                              </w:rPr>
                              <w:t>Ukupna vrijednost projekta iznosi 2.975.852,47 kuna. </w:t>
                            </w:r>
                            <w:r>
                              <w:rPr>
                                <w:rFonts w:eastAsia="Arial" w:cs="Arial" w:ascii="Arial" w:hAnsi="Arial"/>
                                <w:color w:val="222222"/>
                                <w:sz w:val="18"/>
                                <w:highlight w:val="white"/>
                              </w:rPr>
                              <w:t>85% bespovratne potpore sufinancirano je sredstvima Europske unije iz Europskog socijalnog fonda, a 15% sredstvima Državnog proračuna Republike Hrvatske. </w:t>
                            </w:r>
                          </w:p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8" path="m0,0l-2147483645,0l-2147483645,-2147483646l0,-2147483646xe" stroked="f" o:allowincell="f" style="position:absolute;margin-left:-7pt;margin-top:692pt;width:508.35pt;height:34.7pt;mso-wrap-style:square;v-text-anchor:top" wp14:anchorId="370574C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eastAsia="Arial" w:cs="Arial" w:ascii="Arial" w:hAnsi="Arial"/>
                          <w:color w:val="000000"/>
                          <w:sz w:val="18"/>
                          <w:highlight w:val="white"/>
                        </w:rPr>
                        <w:t>Ukupna vrijednost projekta iznosi 2.975.852,47 kuna. </w:t>
                      </w:r>
                      <w:r>
                        <w:rPr>
                          <w:rFonts w:eastAsia="Arial" w:cs="Arial" w:ascii="Arial" w:hAnsi="Arial"/>
                          <w:color w:val="222222"/>
                          <w:sz w:val="18"/>
                          <w:highlight w:val="white"/>
                        </w:rPr>
                        <w:t>85% bespovratne potpore sufinancirano je sredstvima Europske unije iz Europskog socijalnog fonda, a 15% sredstvima Državnog proračuna Republike Hrvatske. 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12" wp14:anchorId="370574C5">
                <wp:simplePos x="0" y="0"/>
                <wp:positionH relativeFrom="column">
                  <wp:posOffset>-88900</wp:posOffset>
                </wp:positionH>
                <wp:positionV relativeFrom="paragraph">
                  <wp:posOffset>8788400</wp:posOffset>
                </wp:positionV>
                <wp:extent cx="6456680" cy="441325"/>
                <wp:effectExtent l="0" t="0" r="0" b="0"/>
                <wp:wrapSquare wrapText="bothSides"/>
                <wp:docPr id="3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6600" cy="44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color w:val="000000"/>
                                <w:sz w:val="18"/>
                                <w:highlight w:val="white"/>
                              </w:rPr>
                              <w:t>Ukupna vrijednost projekta iznosi 2.975.852,47 kuna. </w:t>
                            </w:r>
                            <w:r>
                              <w:rPr>
                                <w:rFonts w:eastAsia="Arial" w:cs="Arial" w:ascii="Arial" w:hAnsi="Arial"/>
                                <w:color w:val="222222"/>
                                <w:sz w:val="18"/>
                                <w:highlight w:val="white"/>
                              </w:rPr>
                              <w:t>85% bespovratne potpore sufinancirano je sredstvima Europske unije iz Europskog socijalnog fonda, a 15% sredstvima Državnog proračuna Republike Hrvatske. </w:t>
                            </w:r>
                          </w:p>
                          <w:p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stroked="f" o:allowincell="f" style="position:absolute;margin-left:-7pt;margin-top:692pt;width:508.35pt;height:34.7pt;mso-wrap-style:square;v-text-anchor:top" wp14:anchorId="370574C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eastAsia="Arial" w:cs="Arial" w:ascii="Arial" w:hAnsi="Arial"/>
                          <w:color w:val="000000"/>
                          <w:sz w:val="18"/>
                          <w:highlight w:val="white"/>
                        </w:rPr>
                        <w:t>Ukupna vrijednost projekta iznosi 2.975.852,47 kuna. </w:t>
                      </w:r>
                      <w:r>
                        <w:rPr>
                          <w:rFonts w:eastAsia="Arial" w:cs="Arial" w:ascii="Arial" w:hAnsi="Arial"/>
                          <w:color w:val="222222"/>
                          <w:sz w:val="18"/>
                          <w:highlight w:val="white"/>
                        </w:rPr>
                        <w:t>85% bespovratne potpore sufinancirano je sredstvima Europske unije iz Europskog socijalnog fonda, a 15% sredstvima Državnog proračuna Republike Hrvatske. </w:t>
                      </w:r>
                    </w:p>
                    <w:p>
                      <w:pPr>
                        <w:pStyle w:val="FrameContents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  <w:sz w:val="28"/>
          <w:szCs w:val="28"/>
        </w:rPr>
        <w:t xml:space="preserve">Održane konzultacije o ulozi neformalnih programa u medijskom obrazovanju </w:t>
      </w:r>
    </w:p>
    <w:p>
      <w:pPr>
        <w:pStyle w:val="Normal"/>
        <w:spacing w:lineRule="auto" w:line="276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/>
        <w:jc w:val="both"/>
        <w:rPr/>
      </w:pPr>
      <w:r>
        <w:rPr/>
        <w:t xml:space="preserve">U utorak, 14. 2. 2023., od 12:30 do 14:00 na platformi Zoom održane su treće konzultacije u okviru strukturiranoga dijaloga na projektu </w:t>
      </w:r>
      <w:r>
        <w:rPr>
          <w:i/>
          <w:iCs/>
        </w:rPr>
        <w:t xml:space="preserve">Medijsko obrazovanje je važno.MOV. </w:t>
      </w:r>
      <w:r>
        <w:rPr/>
        <w:t xml:space="preserve">Na konzultacijama se raspravljalo o ulozi i važnosti neformalnih programa u medijskom obrazovanju. Moderatorica konzultacija bila je Branimira Penić iz Hrvatskog debatnog društva, a na konzultacijama su sudjelovali i predstavnici Kurziva – Platforme za pitanja kulture, medija i društva, koji su i autori smjernica o medijskom obrazovanju unutar neformalnog obrazovanja, te predstavnici Gonga koji je na čelu projekta </w:t>
      </w:r>
      <w:r>
        <w:rPr>
          <w:i/>
          <w:iCs/>
        </w:rPr>
        <w:t>Medijsko obrazovanje je važno.MOV</w:t>
      </w:r>
      <w:r>
        <w:rPr/>
        <w:t xml:space="preserve">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Na konzultacijama se raspravljalo o važnosti programa neformalnog obrazovanja, koje najčešće provode organizacije civilnoga društva, u medijskom obrazovanju. U svrhu utvrđivanja okvira za provedbu konzultacija predstavljeni su ciljevi i preporuke za razvoj i daljnju razradu smjernice o ulozi neformalnih programa u medijskom obrazovanju, a sudionici strukturiranog dijaloga pomoću alata Mentimetar u tijeku konzultacija odgovarali na pitanja što je za njih medijsko obrazovanje, što je neformalno obrazovanje i tko su provoditelji programa neformalnog obrazovanja, kao i provode li oni programe medijskoga obrazovanja. Odgovori na navedena pitanja ukazuju na činjenicu da većina sudionika uključenih u konzultacije ima iskustva u provođenju neformalnih obrazovnih programa te da ih provode kako u školama tako i izvan njih. Ponuđeno je i nekoliko primjera dobre prakse u kontekstu govora o programima provođenim u području medijskoga obrazovanja – najčešće radionica usmjerenih na razvoj kompetencija sudionika za prepoznavanje lažnih vijesti.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bookmarkStart w:id="0" w:name="_GoBack"/>
      <w:bookmarkEnd w:id="0"/>
      <w:r>
        <w:rPr/>
        <w:t xml:space="preserve">Unatoč činjenici da sudionici imaju iskustvo u provedbi programa za poboljšanje medijske pismenosti i medijskoga obrazovanja, ističu da se često susreću s problemima vezanim za osiguravanje kontinuiteta tih programa. Kao najčešće izazove u provedbi programa navode i nedostatak infrastrukture za kvalitetnu i dugoročnu provedbu programa, nedostatak projektnoga financiranja, kao i izostanak podrške institucija državne i lokalne vlasti te nedovoljan broj korisnika koji se žele uključiti u takve programe. </w:t>
      </w:r>
      <w:r>
        <w:rPr/>
        <w:t>To</w:t>
      </w:r>
      <w:r>
        <w:rPr/>
        <w:t>mu su najčešći uzroci činjenice da se kvaliteta neformalnih programa nerijetko dovodi u pitanje te da udruge vrlo teško dolaze do novih suradnika u školama, kao i otpor roditelja prema provedbi programa medijske pismenosti u školama.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U nastavku se, stoga, raspravljalo i mogućnostima za uspostavljanja sustava priznavanja i vrednovanja neformalnih obrazovnih programa u području medijske pismenosti. Na pitanje o tome koji kriteriji trebaju postojati za priznavanje i vrednovanje programa neformalnog obrazovanja, sudionici su odgovorili da se naglasak treba staviti na razvoj suradnje s osnivačima i ravnateljima osnovnih i srednjih škola te organiziranje plaćenih ljetnih kampova ili radionica u koje bi se uključili nastavnici, učitelji i učenici.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Sustav, prema mišljenju sudionika, podršku osiguravanju kvalitete neformalnih obrazovnih programa može pružiti i kontinuiranim financiranjem, odnosno redovitim objavljivanjem natječaja te uspostavljanjem mreže za međuorganizacijske mentorske edukacije kojima bi se metodom </w:t>
      </w:r>
      <w:r>
        <w:rPr>
          <w:i/>
          <w:iCs/>
        </w:rPr>
        <w:t>peer learninga</w:t>
      </w:r>
      <w:r>
        <w:rPr/>
        <w:t xml:space="preserve"> i međusobnim pružanjem podrške osnažilo</w:t>
      </w:r>
      <w:r>
        <w:rPr>
          <w:i/>
          <w:iCs/>
        </w:rPr>
        <w:t xml:space="preserve"> </w:t>
      </w:r>
      <w:r>
        <w:rPr/>
        <w:t xml:space="preserve">udruge za provedbu programa u području medijske pismenosti. Također, sudionici su istaknuli da je važno uključiti predstavnike udruga koje se bave medijskim obrazovanjem kao stručnjake u proces validacije programa i izrade kriterija za osiguravanje kvalitete tih programa.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Kao javna tijela koja bi trebala pružati podršku, odnosno poticati neformalne programe medijske pismenosti, sudionici konzultacija istaknuli su Ministarstvo znanosti i obrazovanja, Agenciju za odgoj i obrazovanje, tijela lokalne vlasti, škole, ali i ostale javne ustanove, poput knjižnica, pučkih učilišta te društvenih i kulturnih centara. Jedan je od prijedloga i uspostavljanje kriterija pomoću kojih  bi AZOO osigurao kvalitetu programa neformalnog obrazovanja i njihovo uključivanje u svoj katalog edukacija za nastavnike. Postavljeno je i pitanje kako potaknuti javne ustanove da sudjeluju u projektima za razvoj medijske pismenosti kao partneri ili suradnici. Odgovori sudionika ukazali su na potrebu za pravovremenim uključivanjem ustanova u razvoj takvih programa i projekata, kao i potrebu za raspisivanjem natječaja za projekte koji bi potaknuli suradnju između javnih ustanova i organizacija civilnoga društva. Prijedlozi sudionika o tome kako osigurati sudjelovanje građana i organizacija civilnoga društva u svim segm</w:t>
      </w:r>
      <w:bookmarkStart w:id="1" w:name="_GoBack1"/>
      <w:bookmarkEnd w:id="1"/>
      <w:r>
        <w:rPr/>
        <w:t xml:space="preserve">entima </w:t>
      </w:r>
      <w:r>
        <w:rPr>
          <w:i/>
          <w:iCs/>
        </w:rPr>
        <w:t xml:space="preserve">policy </w:t>
      </w:r>
      <w:r>
        <w:rPr/>
        <w:t xml:space="preserve">ciklusa koji se tiču obrazovnih politika bili su usmjereni na uspostavljanje radnih skupina za izradu </w:t>
      </w:r>
      <w:r>
        <w:rPr>
          <w:i/>
          <w:iCs/>
        </w:rPr>
        <w:t>policy</w:t>
      </w:r>
      <w:r>
        <w:rPr/>
        <w:t xml:space="preserve"> dokumenata, deliberativno anketiranje građana te izradu dugotrajne i kvalitetne medijske kampanje kojom bi se promovirale koristi koje donosi uključivanje u neformalne obrazovne programe.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U zaključnome dijelu konzultacija sudionici su dobili priliku po važnosti rangirati preporuke istaknute u smjernicama za poboljšanje položaja neformalnih obrazovnih programa u području medijskoga obrazovanja. Sudionici su kao najvažniju istaknuli preporuku da se osiguraju višegodišnje potpore programima medijske pismenosti u svrhu osiguravanja njihova kontinuiteta i stabilnoga razvoja te omogućavanja trajnije suradnje. Kao druga po važnosti istaknuta je preporuka da se uspostave transparentni i jasni kriteriji i standardi za suradnju organizacija civilnoga društva i odgojno-obrazovnih ustanova. Iz navedenoga može se zaključiti da je za osiguranje kvalitete provedbe neformalnih obrazovnih programa u području medijske pismenosti potrebno osigurati kontinuiranu financijsku podršku, kao i odrediti jasne i transparentne kriterije pomoću kojih bi se osigurala trajnija suradnja udruga s ustanovama formalnoga obrazovanja.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Susret je organiziran u sklopu projekta UP.04.2.1.06.0047 </w:t>
      </w:r>
      <w:r>
        <w:rPr>
          <w:i/>
          <w:iCs/>
        </w:rPr>
        <w:t>Medijsko obrazovanje je važno.MOV</w:t>
      </w:r>
      <w:r>
        <w:rPr/>
        <w:t xml:space="preserve"> sufinanciranog sredstvima Europskog socijalnog fonda. Sadržaj ovog članka isključiva je odgovornost Gonga.</w:t>
      </w:r>
    </w:p>
    <w:sectPr>
      <w:headerReference w:type="default" r:id="rId2"/>
      <w:footerReference w:type="default" r:id="rId3"/>
      <w:type w:val="nextPage"/>
      <w:pgSz w:w="11906" w:h="16820"/>
      <w:pgMar w:left="1134" w:right="720" w:gutter="0" w:header="473" w:top="1577" w:footer="693" w:bottom="75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color w:val="000066"/>
        <w:sz w:val="16"/>
        <w:szCs w:val="16"/>
      </w:rPr>
    </w:pPr>
    <w:r>
      <w:rPr>
        <w:color w:val="000066"/>
        <w:sz w:val="16"/>
        <w:szCs w:val="16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-152400</wp:posOffset>
              </wp:positionH>
              <wp:positionV relativeFrom="paragraph">
                <wp:posOffset>-12700</wp:posOffset>
              </wp:positionV>
              <wp:extent cx="6517005" cy="12700"/>
              <wp:effectExtent l="5715" t="5080" r="5080" b="5715"/>
              <wp:wrapNone/>
              <wp:docPr id="7" name="Straight Arrow Connector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708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51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Straight Arrow Connector 9" path="m0,0l-2147483648,-2147483647e" stroked="t" o:allowincell="f" style="position:absolute;margin-left:-12pt;margin-top:-1pt;width:513.1pt;height:0.95pt;mso-wrap-style:none;v-text-anchor:middle" type="_x0000_t32">
              <v:fill o:detectmouseclick="t" on="false"/>
              <v:stroke color="#ff5100" weight="9360" joinstyle="round" endcap="flat"/>
              <w10:wrap type="none"/>
            </v:shape>
          </w:pict>
        </mc:Fallback>
      </mc:AlternateContent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ind w:left="-284" w:hanging="0"/>
      <w:rPr>
        <w:rFonts w:ascii="Arial" w:hAnsi="Arial" w:eastAsia="Arial" w:cs="Arial"/>
        <w:color w:val="002266"/>
        <w:sz w:val="18"/>
        <w:szCs w:val="18"/>
      </w:rPr>
    </w:pPr>
    <w:r>
      <w:rPr/>
      <w:drawing>
        <wp:inline distT="0" distB="0" distL="0" distR="0">
          <wp:extent cx="3048000" cy="568325"/>
          <wp:effectExtent l="0" t="0" r="0" b="0"/>
          <wp:docPr id="8" name="image4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rPr>
        <w:rFonts w:ascii="Arial" w:hAnsi="Arial" w:eastAsia="Arial" w:cs="Arial"/>
        <w:color w:val="002266"/>
        <w:sz w:val="18"/>
        <w:szCs w:val="18"/>
      </w:rPr>
    </w:pPr>
    <w:r>
      <w:rPr>
        <w:rFonts w:eastAsia="Arial" w:cs="Arial" w:ascii="Arial" w:hAnsi="Arial"/>
        <w:color w:val="002266"/>
        <w:sz w:val="18"/>
        <w:szCs w:val="18"/>
      </w:rPr>
    </w:r>
  </w:p>
  <w:p>
    <w:pPr>
      <w:pStyle w:val="Normal"/>
      <w:pBdr/>
      <w:tabs>
        <w:tab w:val="clear" w:pos="720"/>
        <w:tab w:val="center" w:pos="4536" w:leader="none"/>
        <w:tab w:val="right" w:pos="9072" w:leader="none"/>
      </w:tabs>
      <w:jc w:val="both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  <w:t>Sadržaj dokumenta isključiva je odgovornost Gonga.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536" w:leader="none"/>
        <w:tab w:val="left" w:pos="7425" w:leader="none"/>
        <w:tab w:val="right" w:pos="9072" w:leader="none"/>
      </w:tabs>
      <w:ind w:right="4092" w:hanging="0"/>
      <w:rPr>
        <w:color w:val="000000"/>
      </w:rPr>
    </w:pPr>
    <w:r>
      <w:rPr/>
      <w:drawing>
        <wp:inline distT="0" distB="0" distL="0" distR="0">
          <wp:extent cx="1512570" cy="1017905"/>
          <wp:effectExtent l="0" t="0" r="0" b="0"/>
          <wp:docPr id="5" name="image5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12570" cy="1017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column">
                <wp:posOffset>-165735</wp:posOffset>
              </wp:positionH>
              <wp:positionV relativeFrom="paragraph">
                <wp:posOffset>1083310</wp:posOffset>
              </wp:positionV>
              <wp:extent cx="6523990" cy="12700"/>
              <wp:effectExtent l="5080" t="5715" r="5715" b="5080"/>
              <wp:wrapNone/>
              <wp:docPr id="6" name="Straight Arrow Connector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rot="10800000">
                        <a:off x="0" y="0"/>
                        <a:ext cx="652392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51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Straight Arrow Connector 7" path="m0,0l-2147483648,-2147483647e" stroked="t" o:allowincell="f" style="position:absolute;margin-left:-13.1pt;margin-top:85.3pt;width:513.65pt;height:0.95pt;flip:x;mso-wrap-style:none;v-text-anchor:middle;rotation:180" type="_x0000_t32">
              <v:fill o:detectmouseclick="t" on="false"/>
              <v:stroke color="#ff5100" weight="9360" joinstyle="round" endcap="flat"/>
              <w10:wrap type="none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0b1a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qFormat/>
    <w:rsid w:val="00253744"/>
    <w:pPr>
      <w:keepNext w:val="true"/>
      <w:ind w:right="-20" w:hanging="0"/>
      <w:jc w:val="both"/>
      <w:outlineLvl w:val="0"/>
    </w:pPr>
    <w:rPr>
      <w:rFonts w:cs="Tahoma"/>
      <w:i/>
      <w:iCs/>
    </w:rPr>
  </w:style>
  <w:style w:type="paragraph" w:styleId="Heading2">
    <w:name w:val="Heading 2"/>
    <w:basedOn w:val="Normal"/>
    <w:next w:val="Normal"/>
    <w:link w:val="Heading2Char"/>
    <w:unhideWhenUsed/>
    <w:qFormat/>
    <w:rsid w:val="00253744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53744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6245ce"/>
    <w:rPr>
      <w:lang w:val="hr-HR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245ce"/>
    <w:rPr>
      <w:lang w:val="hr-H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245ce"/>
    <w:rPr>
      <w:rFonts w:ascii="Tahoma" w:hAnsi="Tahoma" w:cs="Tahoma"/>
      <w:sz w:val="16"/>
      <w:szCs w:val="16"/>
      <w:lang w:val="hr-HR"/>
    </w:rPr>
  </w:style>
  <w:style w:type="character" w:styleId="InternetLink">
    <w:name w:val="Hyperlink"/>
    <w:basedOn w:val="DefaultParagraphFont"/>
    <w:uiPriority w:val="99"/>
    <w:unhideWhenUsed/>
    <w:rsid w:val="00c758f4"/>
    <w:rPr>
      <w:color w:val="0000FF" w:themeColor="hyperlink"/>
      <w:u w:val="single"/>
    </w:rPr>
  </w:style>
  <w:style w:type="character" w:styleId="Nerijeenospominjanje1" w:customStyle="1">
    <w:name w:val="Neriješeno spominjanje1"/>
    <w:basedOn w:val="DefaultParagraphFont"/>
    <w:uiPriority w:val="99"/>
    <w:semiHidden/>
    <w:unhideWhenUsed/>
    <w:qFormat/>
    <w:rsid w:val="00543ac5"/>
    <w:rPr>
      <w:color w:val="808080"/>
      <w:shd w:fill="E6E6E6" w:val="clear"/>
    </w:rPr>
  </w:style>
  <w:style w:type="character" w:styleId="Heading1Char" w:customStyle="1">
    <w:name w:val="Heading 1 Char"/>
    <w:basedOn w:val="DefaultParagraphFont"/>
    <w:link w:val="Heading1"/>
    <w:qFormat/>
    <w:rsid w:val="00253744"/>
    <w:rPr>
      <w:rFonts w:ascii="Times New Roman" w:hAnsi="Times New Roman" w:eastAsia="Times New Roman" w:cs="Tahoma"/>
      <w:i/>
      <w:iCs/>
      <w:sz w:val="24"/>
      <w:szCs w:val="24"/>
      <w:lang w:val="hr-HR" w:eastAsia="hr-HR"/>
    </w:rPr>
  </w:style>
  <w:style w:type="character" w:styleId="Heading2Char" w:customStyle="1">
    <w:name w:val="Heading 2 Char"/>
    <w:basedOn w:val="DefaultParagraphFont"/>
    <w:link w:val="Heading2"/>
    <w:qFormat/>
    <w:rsid w:val="00253744"/>
    <w:rPr>
      <w:rFonts w:ascii="Arial" w:hAnsi="Arial" w:eastAsia="Times New Roman" w:cs="Arial"/>
      <w:b/>
      <w:bCs/>
      <w:i/>
      <w:iCs/>
      <w:sz w:val="28"/>
      <w:szCs w:val="28"/>
      <w:lang w:val="hr-HR" w:eastAsia="hr-HR"/>
    </w:rPr>
  </w:style>
  <w:style w:type="character" w:styleId="Heading3Char" w:customStyle="1">
    <w:name w:val="Heading 3 Char"/>
    <w:basedOn w:val="DefaultParagraphFont"/>
    <w:link w:val="Heading3"/>
    <w:semiHidden/>
    <w:qFormat/>
    <w:rsid w:val="00253744"/>
    <w:rPr>
      <w:rFonts w:ascii="Arial" w:hAnsi="Arial" w:eastAsia="Times New Roman" w:cs="Arial"/>
      <w:b/>
      <w:bCs/>
      <w:sz w:val="26"/>
      <w:szCs w:val="26"/>
      <w:lang w:val="hr-HR" w:eastAsia="hr-H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6611f7"/>
    <w:rPr>
      <w:color w:val="605E5C"/>
      <w:shd w:fill="E1DFDD" w:val="clear"/>
    </w:rPr>
  </w:style>
  <w:style w:type="character" w:styleId="VisitedInternetLink">
    <w:name w:val="FollowedHyperlink"/>
    <w:basedOn w:val="DefaultParagraphFont"/>
    <w:uiPriority w:val="99"/>
    <w:semiHidden/>
    <w:unhideWhenUsed/>
    <w:rsid w:val="00835b6d"/>
    <w:rPr>
      <w:color w:val="800080" w:themeColor="followed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245c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245ce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245c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a2576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9663c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qFormat/>
    <w:rsid w:val="00ad7197"/>
    <w:pPr>
      <w:spacing w:beforeAutospacing="1" w:afterAutospacing="1"/>
    </w:pPr>
    <w:rPr>
      <w:rFonts w:eastAsia="Calibri" w:eastAsiaTheme="minorHAnsi"/>
    </w:rPr>
  </w:style>
  <w:style w:type="paragraph" w:styleId="Xmsonormal" w:customStyle="1">
    <w:name w:val="x_msonormal"/>
    <w:basedOn w:val="Normal"/>
    <w:uiPriority w:val="99"/>
    <w:qFormat/>
    <w:rsid w:val="00ad7197"/>
    <w:pPr/>
    <w:rPr>
      <w:rFonts w:ascii="Calibri" w:hAnsi="Calibri" w:eastAsia="Calibri" w:cs="Calibri" w:eastAsiaTheme="minorHAnsi"/>
      <w:sz w:val="22"/>
      <w:szCs w:val="22"/>
    </w:rPr>
  </w:style>
  <w:style w:type="paragraph" w:styleId="Xmsobodytext" w:customStyle="1">
    <w:name w:val="x_msobodytext"/>
    <w:basedOn w:val="Normal"/>
    <w:uiPriority w:val="99"/>
    <w:qFormat/>
    <w:rsid w:val="00ad7197"/>
    <w:pPr/>
    <w:rPr>
      <w:rFonts w:ascii="Calibri" w:hAnsi="Calibri" w:eastAsia="Calibri" w:cs="Calibri" w:eastAsiaTheme="minorHAnsi"/>
      <w:sz w:val="22"/>
      <w:szCs w:val="22"/>
    </w:rPr>
  </w:style>
  <w:style w:type="paragraph" w:styleId="EmptyLayoutCell" w:customStyle="1">
    <w:name w:val="EmptyLayoutCell"/>
    <w:basedOn w:val="Normal"/>
    <w:qFormat/>
    <w:rsid w:val="00bf7cef"/>
    <w:pPr/>
    <w:rPr>
      <w:sz w:val="2"/>
      <w:szCs w:val="20"/>
      <w:lang w:val="en-US" w:eastAsia="en-US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QzqOPhrhzRnptQTMhQmBsiODbRQ==">AMUW2mVKMFud83OUFUZKd6165kbjHM5bRG5uoB36gCLbg0ROMnAiKNkqAXtDPY2hhjgUnRoALed41ao0vVjch/75gkl2/F9w8oxjYUoPoMrmy2R+b1nf3sk=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LibreOffice/7.4.0.3$Windows_X86_64 LibreOffice_project/f85e47c08ddd19c015c0114a68350214f7066f5a</Application>
  <AppVersion>15.0000</AppVersion>
  <Pages>2</Pages>
  <Words>860</Words>
  <Characters>5674</Characters>
  <CharactersWithSpaces>6534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2022-04-07T10:38:00Z</dcterms:created>
  <dc:creator>Vesna</dc:creator>
  <dc:description/>
  <dc:language>hr-HR</dc:language>
  <cp:lastModifiedBy/>
  <dcterms:modified xsi:type="dcterms:W3CDTF">2023-02-15T10:24:14Z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